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72"/>
          <w:szCs w:val="72"/>
        </w:rPr>
      </w:pPr>
      <w:r/>
      <w:commentRangeStart w:id="0"/>
      <w:r/>
      <w:commentRangeStart w:id="1"/>
      <w:r>
        <w:rPr>
          <w:b/>
          <w:sz w:val="72"/>
          <w:szCs w:val="72"/>
          <w:rtl w:val="0"/>
        </w:rPr>
        <w:t xml:space="preserve"> FICHE ACTION VNE N°17</w:t>
      </w:r>
      <w:commentRangeEnd w:id="0"/>
      <w:r>
        <w:commentReference w:id="0"/>
      </w:r>
      <w:r/>
      <w:commentRangeEnd w:id="1"/>
      <w:r>
        <w:commentReference w:id="1"/>
      </w:r>
      <w:r>
        <w:rPr>
          <w:b/>
          <w:sz w:val="72"/>
          <w:szCs w:val="72"/>
        </w:rPr>
      </w:r>
      <w:r>
        <w:rPr>
          <w:b/>
          <w:sz w:val="72"/>
          <w:szCs w:val="72"/>
        </w:rPr>
      </w:r>
    </w:p>
    <w:p>
      <w:pPr>
        <w:pBdr/>
        <w:spacing/>
        <w:ind/>
        <w:jc w:val="center"/>
        <w:rPr>
          <w:sz w:val="32"/>
          <w:szCs w:val="32"/>
        </w:rPr>
      </w:pPr>
      <w:r>
        <w:rPr>
          <w:sz w:val="32"/>
          <w:szCs w:val="32"/>
          <w:rtl w:val="0"/>
        </w:rPr>
        <w:t xml:space="preserve">Fiche action pour exemple n’ayant pas fait l’objet de validation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Bdr/>
        <w:spacing/>
        <w:ind/>
        <w:jc w:val="center"/>
        <w:rPr>
          <w:b/>
          <w:sz w:val="10"/>
          <w:szCs w:val="10"/>
        </w:rPr>
      </w:pPr>
      <w:r>
        <w:rPr>
          <w:rtl w:val="0"/>
        </w:rPr>
      </w:r>
      <w:r>
        <w:rPr>
          <w:b/>
          <w:sz w:val="10"/>
          <w:szCs w:val="10"/>
        </w:rPr>
      </w:r>
      <w:r>
        <w:rPr>
          <w:b/>
          <w:sz w:val="10"/>
          <w:szCs w:val="10"/>
        </w:rPr>
      </w:r>
    </w:p>
    <w:tbl>
      <w:tblPr>
        <w:tblStyle w:val="909"/>
        <w:tblW w:w="11220" w:type="dxa"/>
        <w:tblInd w:w="-1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2970"/>
        <w:gridCol w:w="2655"/>
        <w:gridCol w:w="2595"/>
        <w:tblGridChange w:id="0">
          <w:tblGrid>
            <w:gridCol w:w="3000"/>
            <w:gridCol w:w="2970"/>
            <w:gridCol w:w="2655"/>
            <w:gridCol w:w="2595"/>
          </w:tblGrid>
        </w:tblGridChange>
      </w:tblGrid>
      <w:tr>
        <w:trPr>
          <w:cantSplit w:val="false"/>
          <w:trHeight w:val="510"/>
        </w:trPr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0"/>
                <w:szCs w:val="20"/>
              </w:rPr>
            </w:pPr>
            <w:r/>
            <w:bookmarkStart w:id="0" w:name="_n33g5qsgodkw"/>
            <w:r/>
            <w:bookmarkEnd w:id="0"/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540000"/>
                      <wp:effectExtent l="0" t="0" r="0" b="0"/>
                      <wp:docPr id="1" name="image1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png"/>
                              <pic:cNvPicPr/>
                              <pic:nvPr/>
                            </pic:nvPicPr>
                            <pic:blipFill>
                              <a:blip r:embed="rId9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5400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42.52pt;height:42.52pt;mso-wrap-distance-left:0.00pt;mso-wrap-distance-top:0.00pt;mso-wrap-distance-right:0.00pt;mso-wrap-distance-bottom:0.00pt;z-index:1;">
                      <v:imagedata r:id="rId9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69854" cy="569854"/>
                      <wp:effectExtent l="0" t="0" r="0" b="0"/>
                      <wp:docPr id="2" name="image2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jpg"/>
                              <pic:cNvPicPr/>
                              <pic:nvPr/>
                            </pic:nvPicPr>
                            <pic:blipFill>
                              <a:blip r:embed="rId10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69854" cy="569854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44.87pt;height:44.87pt;mso-wrap-distance-left:0.00pt;mso-wrap-distance-top:0.00pt;mso-wrap-distance-right:0.00pt;mso-wrap-distance-bottom:0.00pt;z-index:1;">
                      <v:imagedata r:id="rId10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AXES STRATÉGIQUES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b497d6"/>
              </w:rPr>
            </w:pPr>
            <w:r>
              <w:rPr>
                <w:shd w:val="clear" w:color="auto" w:fill="b497d6"/>
                <w:rtl w:val="0"/>
              </w:rPr>
              <w:t xml:space="preserve">AXE IV</w:t>
            </w:r>
            <w:r>
              <w:rPr>
                <w:shd w:val="clear" w:color="auto" w:fill="b497d6"/>
              </w:rPr>
            </w:r>
            <w:r>
              <w:rPr>
                <w:shd w:val="clear" w:color="auto" w:fill="b497d6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ÉTAT D’AVANCEMENT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Déterminer un porteur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NOM DE LA FICHE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Mener une veille des appels à projets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PILOTE(S) / PORTEUR(S)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SUPPORTS/PARTENAIRES/ PRESTATAIRES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CONTRIBUTEURS/ACTEURS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Associations du Var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ACTION</w:t>
            </w: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NOUVELLE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EN COURS D’ÉLABORATION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DÉJÀ ENGAGÉE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DIAGNOSTIC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CONSTATS</w:t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Plusieurs acteur</w:t>
            </w:r>
            <w:r>
              <w:rPr>
                <w:rtl w:val="0"/>
              </w:rPr>
              <w:t xml:space="preserve">s font et proposent les résultats de leur veille des AAP. Quel est le contenu ? La portée ? Qui sont les récipiendaires ? Peut-on harmoniser cette communication pour éviter le dédoublement des sources d’informations pour les associations et collectivités ?</w:t>
            </w:r>
            <w:r/>
          </w:p>
        </w:tc>
      </w:tr>
      <w:tr>
        <w:trPr>
          <w:cantSplit w:val="false"/>
          <w:trHeight w:val="912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/>
            </w:pP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Faciliter le travail de recherche des associations et collectivités pour financer un maximum d’actions sur le territoire Varois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widowControl w:val="false"/>
              <w:pBdr/>
              <w:spacing w:line="276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RÉPONSE À DEMANDE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FNE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SÉNAT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14 : Créer</w:t>
            </w:r>
            <w:r>
              <w:rPr>
                <w:rtl w:val="0"/>
              </w:rPr>
              <w:t xml:space="preserve"> un fonds de lutte contre l'exclusion numérique pour atteindre un milliard d'euros de soutien public, mobilisable d'ici 2022. Pérenniser, au-delà de cette date, les moyens de la lutte contre l'illectronisme, politique ayant vocation à devenir structurelle.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COMMISSION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17 : Pérenniser le financement par l'État des conseillers numériques France Services au moins jusqu'en 2025 et revoir leur nombre à la hausse, si nécessaire.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796b"/>
              </w:rPr>
            </w:pPr>
            <w:r>
              <w:rPr>
                <w:b/>
                <w:color w:val="00796b"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color w:val="00796b"/>
              </w:rPr>
            </w:r>
            <w:r>
              <w:rPr>
                <w:color w:val="00796b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color w:val="00796b"/>
                <w:sz w:val="24"/>
                <w:szCs w:val="24"/>
              </w:rPr>
            </w:pPr>
            <w:r>
              <w:rPr>
                <w:b/>
                <w:color w:val="00796b"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b/>
                <w:color w:val="00796b"/>
                <w:sz w:val="24"/>
                <w:szCs w:val="24"/>
              </w:rPr>
            </w:r>
            <w:r>
              <w:rPr>
                <w:b/>
                <w:color w:val="00796b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0"/>
              </w:tabs>
              <w:spacing w:line="276" w:lineRule="auto"/>
              <w:ind/>
              <w:rPr>
                <w:color w:val="00796b"/>
              </w:rPr>
            </w:pPr>
            <w:r>
              <w:rPr>
                <w:rtl w:val="0"/>
              </w:rPr>
            </w:r>
            <w:r>
              <w:rPr>
                <w:color w:val="00796b"/>
              </w:rPr>
            </w:r>
            <w:r>
              <w:rPr>
                <w:color w:val="00796b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DURÉE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ANNUELLE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PLURIANNUELLE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425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 DÉBUT: 01/01/2026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         FIN : 01/01/2027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PÉRIMÈTRE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Var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PUBLIC CIBLE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Petites et moyennes associations du Var principalement, sans complètement exclure les plus grosses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Collectivités territoriales</w:t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RÉSULTATS ATTENDUS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Meilleure participation des petites associations et collectivités aux AAP locaux et extra-départementaux (régional, national, europeen)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MOYENS MOBILISÉS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HUMAINS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MATÉRIELS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FINANCIER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RAS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INDICATEURS D’ÉVALUATION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/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Taux d’ouverture d’une newsletter sur les AAP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d’association/collectivités bénéficiant d’AAP </w:t>
            </w:r>
            <w:r>
              <w:rPr>
                <w:rtl w:val="0"/>
              </w:rPr>
              <w:t xml:space="preserve">locaux</w:t>
            </w:r>
            <w:r>
              <w:rPr>
                <w:rtl w:val="0"/>
              </w:rPr>
              <w:t xml:space="preserve"> et extra-départementaux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RESSOURCES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PERSPECTIVES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Première étape nécessaire avant de développer une action </w:t>
            </w:r>
            <w:r>
              <w:rPr>
                <w:rtl w:val="0"/>
              </w:rPr>
              <w:t xml:space="preserve">d'accompagnement</w:t>
            </w:r>
            <w:r>
              <w:rPr>
                <w:rtl w:val="0"/>
              </w:rPr>
              <w:t xml:space="preserve"> de ces associations dans leurs démarches de manifestation d’intérêt en réponse à ces AAP ? Une formation peut être ? Un accompagnement pérenne (donc financé) ?</w:t>
            </w:r>
            <w:r/>
          </w:p>
        </w:tc>
      </w:tr>
    </w:tbl>
    <w:p>
      <w:pPr>
        <w:pBdr/>
        <w:spacing w:after="200" w:before="0"/>
        <w:ind/>
        <w:rPr/>
      </w:pPr>
      <w:r>
        <w:rPr>
          <w:rtl w:val="0"/>
        </w:rPr>
      </w:r>
      <w:r/>
    </w:p>
    <w:sectPr>
      <w:footnotePr/>
      <w:endnotePr/>
      <w:type w:val="nextPage"/>
      <w:pgSz w:h="16838" w:orient="portrait" w:w="11906"/>
      <w:pgMar w:top="1474" w:right="1983" w:bottom="851" w:left="1418" w:header="0" w:footer="0" w:gutter="0"/>
      <w:pgNumType w:start="1"/>
      <w:cols w:num="1" w:sep="0" w:space="1701" w:equalWidth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Valentin BOUSSET" w:date="2025-09-17T14:50:09Z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Deux volontaires : CD 83 (DASP) et Hub du Sud</w:t>
      </w:r>
    </w:p>
  </w:comment>
  <w:comment w:id="0" w:author="Valentin BOUSSET" w:date="2025-09-18T12:36:37Z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Sinon disparition de la fiche action 17 pour incorporation dans fiche actoin 8 (proposition DASP = tout ce qui est financier passe par la conférence des financeurs publics pour contrôler/mesurer/identifier/orienter les flux)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07C696B"/>
  <w16cid:commentId w16cid:paraId="00000002" w16cid:durableId="6B31360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2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3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4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5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6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7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fr-FR" w:eastAsia="zh-CN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9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Table Grid"/>
    <w:basedOn w:val="719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Table Grid Light"/>
    <w:basedOn w:val="71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1"/>
    <w:basedOn w:val="71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2"/>
    <w:basedOn w:val="71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"/>
    <w:basedOn w:val="7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1"/>
    <w:basedOn w:val="7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2"/>
    <w:basedOn w:val="7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3"/>
    <w:basedOn w:val="7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4"/>
    <w:basedOn w:val="7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5"/>
    <w:basedOn w:val="7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6"/>
    <w:basedOn w:val="7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1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2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3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4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5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6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1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2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3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4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5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6"/>
    <w:basedOn w:val="7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1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2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3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4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5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6"/>
    <w:basedOn w:val="7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6">
    <w:name w:val="Heading 7"/>
    <w:basedOn w:val="900"/>
    <w:next w:val="900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900"/>
    <w:next w:val="900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default="1">
    <w:name w:val="Default Paragraph Font"/>
    <w:uiPriority w:val="1"/>
    <w:semiHidden/>
    <w:unhideWhenUsed/>
    <w:pPr>
      <w:pBdr/>
      <w:spacing/>
      <w:ind/>
    </w:pPr>
  </w:style>
  <w:style w:type="numbering" w:styleId="850" w:default="1">
    <w:name w:val="No List"/>
    <w:uiPriority w:val="99"/>
    <w:semiHidden/>
    <w:unhideWhenUsed/>
    <w:pPr>
      <w:pBdr/>
      <w:spacing/>
      <w:ind/>
    </w:pPr>
  </w:style>
  <w:style w:type="character" w:styleId="851">
    <w:name w:val="Heading 1 Char"/>
    <w:basedOn w:val="849"/>
    <w:link w:val="9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849"/>
    <w:link w:val="9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849"/>
    <w:link w:val="9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849"/>
    <w:link w:val="90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849"/>
    <w:link w:val="90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849"/>
    <w:link w:val="90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849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84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849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0">
    <w:name w:val="Title Char"/>
    <w:basedOn w:val="849"/>
    <w:link w:val="90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Subtitle Char"/>
    <w:basedOn w:val="849"/>
    <w:link w:val="90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9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9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9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9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9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9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9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9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paragraph" w:styleId="897">
    <w:name w:val="TOC Heading"/>
    <w:uiPriority w:val="39"/>
    <w:unhideWhenUsed/>
    <w:pPr>
      <w:pBdr/>
      <w:spacing/>
      <w:ind/>
    </w:pPr>
  </w:style>
  <w:style w:type="paragraph" w:styleId="898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table" w:styleId="899">
    <w:name w:val="TableNormal"/>
    <w:pPr>
      <w:pBdr/>
      <w:spacing/>
      <w:ind/>
    </w:pPr>
    <w:tblPr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0" w:default="1">
    <w:name w:val="Normal"/>
    <w:pPr>
      <w:pBdr/>
      <w:spacing/>
      <w:ind/>
    </w:pPr>
  </w:style>
  <w:style w:type="paragraph" w:styleId="901">
    <w:name w:val="Heading 1"/>
    <w:basedOn w:val="900"/>
    <w:next w:val="900"/>
    <w:pPr>
      <w:keepNext w:val="true"/>
      <w:keepLines w:val="true"/>
      <w:pageBreakBefore w:val="false"/>
      <w:pBdr/>
      <w:spacing w:after="120" w:before="480"/>
      <w:ind/>
    </w:pPr>
    <w:rPr>
      <w:b/>
      <w:sz w:val="48"/>
      <w:szCs w:val="48"/>
    </w:rPr>
  </w:style>
  <w:style w:type="paragraph" w:styleId="902">
    <w:name w:val="Heading 2"/>
    <w:basedOn w:val="900"/>
    <w:next w:val="900"/>
    <w:pPr>
      <w:keepNext w:val="true"/>
      <w:keepLines w:val="true"/>
      <w:pageBreakBefore w:val="false"/>
      <w:pBdr/>
      <w:spacing w:after="80" w:before="360"/>
      <w:ind/>
    </w:pPr>
    <w:rPr>
      <w:b/>
      <w:sz w:val="36"/>
      <w:szCs w:val="36"/>
    </w:rPr>
  </w:style>
  <w:style w:type="paragraph" w:styleId="903">
    <w:name w:val="Heading 3"/>
    <w:basedOn w:val="900"/>
    <w:next w:val="900"/>
    <w:pPr>
      <w:keepNext w:val="true"/>
      <w:keepLines w:val="true"/>
      <w:pageBreakBefore w:val="false"/>
      <w:pBdr/>
      <w:spacing w:after="80" w:before="280"/>
      <w:ind/>
    </w:pPr>
    <w:rPr>
      <w:b/>
      <w:sz w:val="28"/>
      <w:szCs w:val="28"/>
    </w:rPr>
  </w:style>
  <w:style w:type="paragraph" w:styleId="904">
    <w:name w:val="Heading 4"/>
    <w:basedOn w:val="900"/>
    <w:next w:val="900"/>
    <w:pPr>
      <w:keepNext w:val="true"/>
      <w:keepLines w:val="true"/>
      <w:pageBreakBefore w:val="false"/>
      <w:pBdr/>
      <w:spacing w:after="40" w:before="240"/>
      <w:ind/>
    </w:pPr>
    <w:rPr>
      <w:b/>
      <w:sz w:val="24"/>
      <w:szCs w:val="24"/>
    </w:rPr>
  </w:style>
  <w:style w:type="paragraph" w:styleId="905">
    <w:name w:val="Heading 5"/>
    <w:basedOn w:val="900"/>
    <w:next w:val="900"/>
    <w:pPr>
      <w:keepNext w:val="true"/>
      <w:keepLines w:val="true"/>
      <w:pageBreakBefore w:val="false"/>
      <w:pBdr/>
      <w:spacing w:after="40" w:before="220"/>
      <w:ind/>
    </w:pPr>
    <w:rPr>
      <w:b/>
      <w:sz w:val="22"/>
      <w:szCs w:val="22"/>
    </w:rPr>
  </w:style>
  <w:style w:type="paragraph" w:styleId="906">
    <w:name w:val="Heading 6"/>
    <w:basedOn w:val="900"/>
    <w:next w:val="900"/>
    <w:pPr>
      <w:keepNext w:val="true"/>
      <w:keepLines w:val="true"/>
      <w:pageBreakBefore w:val="false"/>
      <w:pBdr/>
      <w:spacing w:after="40" w:before="200"/>
      <w:ind/>
    </w:pPr>
    <w:rPr>
      <w:b/>
      <w:sz w:val="20"/>
      <w:szCs w:val="20"/>
    </w:rPr>
  </w:style>
  <w:style w:type="paragraph" w:styleId="907">
    <w:name w:val="Title"/>
    <w:basedOn w:val="900"/>
    <w:next w:val="900"/>
    <w:pPr>
      <w:keepNext w:val="true"/>
      <w:keepLines w:val="true"/>
      <w:pageBreakBefore w:val="false"/>
      <w:pBdr/>
      <w:spacing w:after="120" w:before="480"/>
      <w:ind/>
    </w:pPr>
    <w:rPr>
      <w:b/>
      <w:sz w:val="72"/>
      <w:szCs w:val="72"/>
    </w:rPr>
  </w:style>
  <w:style w:type="paragraph" w:styleId="908">
    <w:name w:val="Subtitle"/>
    <w:basedOn w:val="900"/>
    <w:next w:val="900"/>
    <w:pPr>
      <w:keepNext w:val="true"/>
      <w:keepLines w:val="true"/>
      <w:pageBreakBefore w:val="fals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909">
    <w:name w:val="StGen0"/>
    <w:basedOn w:val="899"/>
    <w:pPr>
      <w:pBdr/>
      <w:spacing w:after="0" w:line="240" w:lineRule="auto"/>
      <w:ind/>
    </w:pPr>
    <w:tblPr>
      <w:tblStyleRowBandSize w:val="1"/>
      <w:tblStyleColBandSize w:val="1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comments" Target="comments.xml" /><Relationship Id="rId12" Type="http://schemas.microsoft.com/office/2011/relationships/commentsExtended" Target="commentsExtended.xml" /><Relationship Id="rId13" Type="http://schemas.microsoft.com/office/2016/09/relationships/commentsIds" Target="commentsId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onlyoffice/8.3.3.18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 BOUSSET</cp:lastModifiedBy>
  <cp:revision>1</cp:revision>
  <dcterms:modified xsi:type="dcterms:W3CDTF">2025-10-10T10:24:08Z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